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13" w:rsidRPr="005043BD" w:rsidRDefault="00125913" w:rsidP="00125913">
      <w:pPr>
        <w:rPr>
          <w:rFonts w:ascii="Times New Roman" w:hAnsi="Times New Roman" w:cs="Times New Roman"/>
          <w:b/>
          <w:sz w:val="28"/>
          <w:szCs w:val="28"/>
        </w:rPr>
      </w:pPr>
      <w:r w:rsidRPr="005043BD">
        <w:rPr>
          <w:rFonts w:ascii="Times New Roman" w:hAnsi="Times New Roman" w:cs="Times New Roman"/>
          <w:b/>
          <w:sz w:val="28"/>
          <w:szCs w:val="28"/>
        </w:rPr>
        <w:t>Рекомендации по выполнению 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043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5913" w:rsidRPr="003B675D" w:rsidRDefault="00125913" w:rsidP="00125913">
      <w:pPr>
        <w:pStyle w:val="a4"/>
        <w:numPr>
          <w:ilvl w:val="0"/>
          <w:numId w:val="11"/>
        </w:numPr>
        <w:spacing w:after="0" w:line="36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3B675D">
        <w:rPr>
          <w:rFonts w:ascii="Times New Roman" w:hAnsi="Times New Roman" w:cs="Times New Roman"/>
          <w:sz w:val="28"/>
          <w:szCs w:val="28"/>
        </w:rPr>
        <w:t>Оценка риска по химическим  факторам начинается с идентификации факторов риска, оценки наличия или отсутствия опасности и определения величины риска. Оформляется в виде табл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675D">
        <w:rPr>
          <w:rFonts w:ascii="Times New Roman" w:hAnsi="Times New Roman" w:cs="Times New Roman"/>
          <w:sz w:val="28"/>
          <w:szCs w:val="28"/>
        </w:rPr>
        <w:t xml:space="preserve"> 1. В столбцах 3 и 4 проставляются +/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B675D">
        <w:rPr>
          <w:rFonts w:ascii="Times New Roman" w:hAnsi="Times New Roman" w:cs="Times New Roman"/>
          <w:sz w:val="28"/>
          <w:szCs w:val="28"/>
        </w:rPr>
        <w:t xml:space="preserve"> соответственно. В столбце 5 проставля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B675D">
        <w:rPr>
          <w:rFonts w:ascii="Times New Roman" w:hAnsi="Times New Roman" w:cs="Times New Roman"/>
          <w:sz w:val="28"/>
          <w:szCs w:val="28"/>
        </w:rPr>
        <w:t>тся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B675D">
        <w:rPr>
          <w:rFonts w:ascii="Times New Roman" w:hAnsi="Times New Roman" w:cs="Times New Roman"/>
          <w:sz w:val="28"/>
          <w:szCs w:val="28"/>
        </w:rPr>
        <w:t xml:space="preserve">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sz w:val="28"/>
          <w:szCs w:val="28"/>
        </w:rPr>
        <w:t>5 согласно табл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675D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125913" w:rsidRPr="003B675D" w:rsidRDefault="00125913" w:rsidP="00125913">
      <w:pPr>
        <w:pStyle w:val="a4"/>
        <w:numPr>
          <w:ilvl w:val="0"/>
          <w:numId w:val="11"/>
        </w:numPr>
        <w:spacing w:after="0" w:line="36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3B675D">
        <w:rPr>
          <w:rFonts w:ascii="Times New Roman" w:hAnsi="Times New Roman" w:cs="Times New Roman"/>
          <w:sz w:val="28"/>
          <w:szCs w:val="28"/>
        </w:rPr>
        <w:t>Затем оформляется карта оценки риска – табл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675D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125913" w:rsidRDefault="00125913" w:rsidP="00125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3B675D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p w:rsidR="00125913" w:rsidRPr="003B675D" w:rsidRDefault="00125913" w:rsidP="00125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3B675D">
        <w:rPr>
          <w:rFonts w:ascii="Times New Roman" w:hAnsi="Times New Roman" w:cs="Times New Roman"/>
          <w:sz w:val="28"/>
          <w:szCs w:val="28"/>
        </w:rPr>
        <w:t>Идентификация химических факторов риска</w:t>
      </w:r>
    </w:p>
    <w:tbl>
      <w:tblPr>
        <w:tblStyle w:val="a3"/>
        <w:tblW w:w="0" w:type="auto"/>
        <w:tblLook w:val="04A0"/>
      </w:tblPr>
      <w:tblGrid>
        <w:gridCol w:w="1343"/>
        <w:gridCol w:w="2662"/>
        <w:gridCol w:w="2036"/>
        <w:gridCol w:w="1769"/>
        <w:gridCol w:w="1761"/>
      </w:tblGrid>
      <w:tr w:rsidR="00125913" w:rsidRPr="003B675D" w:rsidTr="000E59E2">
        <w:tc>
          <w:tcPr>
            <w:tcW w:w="1348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Код фактора</w:t>
            </w:r>
          </w:p>
        </w:tc>
        <w:tc>
          <w:tcPr>
            <w:tcW w:w="2637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Фактор риска</w:t>
            </w:r>
          </w:p>
        </w:tc>
        <w:tc>
          <w:tcPr>
            <w:tcW w:w="2036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Вызывает опасность/вред</w:t>
            </w:r>
          </w:p>
        </w:tc>
        <w:tc>
          <w:tcPr>
            <w:tcW w:w="1777" w:type="dxa"/>
          </w:tcPr>
          <w:p w:rsidR="00125913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Не вызывает опасность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 вред</w:t>
            </w:r>
          </w:p>
        </w:tc>
        <w:tc>
          <w:tcPr>
            <w:tcW w:w="1773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Величина риска</w:t>
            </w:r>
          </w:p>
        </w:tc>
      </w:tr>
      <w:tr w:rsidR="00125913" w:rsidRPr="003B675D" w:rsidTr="000E59E2">
        <w:tc>
          <w:tcPr>
            <w:tcW w:w="1348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7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5913" w:rsidRPr="003B675D" w:rsidTr="000E59E2">
        <w:tc>
          <w:tcPr>
            <w:tcW w:w="1348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637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vertAlign w:val="superscript"/>
              </w:rPr>
            </w:pPr>
            <w:r w:rsidRPr="003B6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Вещества 1–4 классов опасности</w:t>
            </w:r>
          </w:p>
        </w:tc>
        <w:tc>
          <w:tcPr>
            <w:tcW w:w="2036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13" w:rsidRPr="003B675D" w:rsidTr="000E59E2">
        <w:tc>
          <w:tcPr>
            <w:tcW w:w="1348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637" w:type="dxa"/>
          </w:tcPr>
          <w:p w:rsidR="00125913" w:rsidRPr="003B675D" w:rsidRDefault="00125913" w:rsidP="000E59E2">
            <w:pPr>
              <w:pStyle w:val="ConsPlusNormal"/>
              <w:keepNext/>
              <w:keepLines/>
              <w:suppressAutoHyphens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B6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Вещества, опасные для развития острого отравления</w:t>
            </w:r>
          </w:p>
        </w:tc>
        <w:tc>
          <w:tcPr>
            <w:tcW w:w="2036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13" w:rsidRPr="003B675D" w:rsidTr="000E59E2">
        <w:tc>
          <w:tcPr>
            <w:tcW w:w="1348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Х3</w:t>
            </w:r>
          </w:p>
        </w:tc>
        <w:tc>
          <w:tcPr>
            <w:tcW w:w="2637" w:type="dxa"/>
          </w:tcPr>
          <w:p w:rsidR="00125913" w:rsidRPr="003B675D" w:rsidRDefault="00125913" w:rsidP="000E59E2">
            <w:pPr>
              <w:pStyle w:val="2"/>
              <w:tabs>
                <w:tab w:val="left" w:pos="708"/>
              </w:tabs>
              <w:ind w:left="0" w:firstLine="0"/>
              <w:rPr>
                <w:spacing w:val="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3B675D">
              <w:rPr>
                <w:color w:val="000000"/>
                <w:sz w:val="28"/>
                <w:szCs w:val="28"/>
              </w:rPr>
              <w:t>ещества раздражающего действия</w:t>
            </w:r>
          </w:p>
        </w:tc>
        <w:tc>
          <w:tcPr>
            <w:tcW w:w="2036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13" w:rsidRPr="003B675D" w:rsidTr="000E59E2">
        <w:tc>
          <w:tcPr>
            <w:tcW w:w="1348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637" w:type="dxa"/>
            <w:vAlign w:val="center"/>
          </w:tcPr>
          <w:p w:rsidR="00125913" w:rsidRPr="00813EC0" w:rsidRDefault="00125913" w:rsidP="00813EC0">
            <w:pPr>
              <w:pStyle w:val="ConsPlusNormal"/>
              <w:keepNext/>
              <w:keepLines/>
              <w:suppressAutoHyphens/>
              <w:spacing w:line="21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B6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Канцерогены, вещества, опасные для репродуктивного здоровья человека</w:t>
            </w:r>
          </w:p>
        </w:tc>
        <w:tc>
          <w:tcPr>
            <w:tcW w:w="2036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13" w:rsidRPr="003B675D" w:rsidTr="000E59E2">
        <w:tc>
          <w:tcPr>
            <w:tcW w:w="1348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Х5</w:t>
            </w:r>
          </w:p>
        </w:tc>
        <w:tc>
          <w:tcPr>
            <w:tcW w:w="2637" w:type="dxa"/>
            <w:vAlign w:val="center"/>
          </w:tcPr>
          <w:p w:rsidR="00125913" w:rsidRPr="003B675D" w:rsidRDefault="00125913" w:rsidP="000E59E2">
            <w:pPr>
              <w:pStyle w:val="ConsPlusNormal"/>
              <w:keepNext/>
              <w:keepLines/>
              <w:suppressAutoHyphens/>
              <w:spacing w:line="21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Аллергены,</w:t>
            </w:r>
            <w:r w:rsidRPr="003B67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3B6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том числе: </w:t>
            </w:r>
          </w:p>
          <w:p w:rsidR="00125913" w:rsidRPr="003B675D" w:rsidRDefault="00125913" w:rsidP="000E59E2">
            <w:pPr>
              <w:pStyle w:val="ConsPlusNormal"/>
              <w:keepNext/>
              <w:keepLines/>
              <w:suppressAutoHyphens/>
              <w:spacing w:line="21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высокоопасные</w:t>
            </w:r>
          </w:p>
          <w:p w:rsidR="00125913" w:rsidRPr="003B675D" w:rsidRDefault="00813EC0" w:rsidP="000E59E2">
            <w:pPr>
              <w:pStyle w:val="ConsPlusNormal"/>
              <w:keepNext/>
              <w:keepLines/>
              <w:suppressAutoHyphens/>
              <w:spacing w:line="21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125913" w:rsidRPr="003B6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умеренно опасные</w:t>
            </w:r>
          </w:p>
        </w:tc>
        <w:tc>
          <w:tcPr>
            <w:tcW w:w="2036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13" w:rsidRPr="003B675D" w:rsidTr="000E59E2">
        <w:tc>
          <w:tcPr>
            <w:tcW w:w="1348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2637" w:type="dxa"/>
            <w:vAlign w:val="center"/>
          </w:tcPr>
          <w:p w:rsidR="00125913" w:rsidRPr="003B675D" w:rsidRDefault="00125913" w:rsidP="000E59E2">
            <w:pPr>
              <w:pStyle w:val="ConsPlusNormal"/>
              <w:keepNext/>
              <w:keepLines/>
              <w:suppressAutoHyphens/>
              <w:spacing w:line="21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Противоопухолевые лекарственные средства, гормоны (эстрогены)</w:t>
            </w:r>
          </w:p>
        </w:tc>
        <w:tc>
          <w:tcPr>
            <w:tcW w:w="2036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13" w:rsidRPr="003B675D" w:rsidTr="000E59E2">
        <w:tc>
          <w:tcPr>
            <w:tcW w:w="1348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2637" w:type="dxa"/>
            <w:vAlign w:val="center"/>
          </w:tcPr>
          <w:p w:rsidR="00125913" w:rsidRPr="003B675D" w:rsidRDefault="00125913" w:rsidP="000E59E2">
            <w:pPr>
              <w:pStyle w:val="ConsPlusNormal"/>
              <w:keepNext/>
              <w:keepLines/>
              <w:suppressAutoHyphens/>
              <w:spacing w:line="21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Наркотические анальгетики</w:t>
            </w:r>
          </w:p>
        </w:tc>
        <w:tc>
          <w:tcPr>
            <w:tcW w:w="2036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13" w:rsidRPr="003B675D" w:rsidTr="000E59E2">
        <w:tc>
          <w:tcPr>
            <w:tcW w:w="1348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Х8</w:t>
            </w:r>
          </w:p>
        </w:tc>
        <w:tc>
          <w:tcPr>
            <w:tcW w:w="2637" w:type="dxa"/>
            <w:vAlign w:val="center"/>
          </w:tcPr>
          <w:p w:rsidR="00125913" w:rsidRPr="00813EC0" w:rsidRDefault="00125913" w:rsidP="00813EC0">
            <w:pPr>
              <w:pStyle w:val="ConsPlusNormal"/>
              <w:keepNext/>
              <w:keepLines/>
              <w:suppressAutoHyphens/>
              <w:spacing w:line="21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B6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Ферменты микробного происхождения</w:t>
            </w:r>
          </w:p>
        </w:tc>
        <w:tc>
          <w:tcPr>
            <w:tcW w:w="2036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913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ED9">
        <w:rPr>
          <w:rFonts w:ascii="Times New Roman" w:hAnsi="Times New Roman" w:cs="Times New Roman"/>
          <w:i/>
          <w:sz w:val="28"/>
          <w:szCs w:val="28"/>
        </w:rPr>
        <w:lastRenderedPageBreak/>
        <w:t>Примечание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gramStart"/>
      <w:r w:rsidRPr="003B675D">
        <w:rPr>
          <w:rFonts w:ascii="Times New Roman" w:hAnsi="Times New Roman" w:cs="Times New Roman"/>
          <w:i/>
          <w:sz w:val="28"/>
          <w:szCs w:val="28"/>
        </w:rPr>
        <w:t xml:space="preserve">Перечень веществ, канцерогенных для организма человека, определяется в соответствии с </w:t>
      </w:r>
      <w:proofErr w:type="spellStart"/>
      <w:r w:rsidRPr="003B675D">
        <w:rPr>
          <w:rFonts w:ascii="Times New Roman" w:hAnsi="Times New Roman" w:cs="Times New Roman"/>
          <w:i/>
          <w:sz w:val="28"/>
          <w:szCs w:val="28"/>
        </w:rPr>
        <w:t>СанПиН</w:t>
      </w:r>
      <w:proofErr w:type="spellEnd"/>
      <w:r w:rsidRPr="003B675D">
        <w:rPr>
          <w:rFonts w:ascii="Times New Roman" w:hAnsi="Times New Roman" w:cs="Times New Roman"/>
          <w:i/>
          <w:sz w:val="28"/>
          <w:szCs w:val="28"/>
        </w:rPr>
        <w:t xml:space="preserve"> 1.2.2353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3B675D">
        <w:rPr>
          <w:rFonts w:ascii="Times New Roman" w:hAnsi="Times New Roman" w:cs="Times New Roman"/>
          <w:i/>
          <w:sz w:val="28"/>
          <w:szCs w:val="28"/>
        </w:rPr>
        <w:t>08 «Канцерогенные факторы и основные требования к профилактике канцерогенной опасности», утвержденными постановлением Главного государственного санитарного врача Российской Федерации от 21 апреля 2008 г. № 27 (зарегистрировано Минюстом России 19 мая 2008 г. № 11706), с изменениями, внесенными постановлением Главного государственного санитарного врача Российской Федерации от 20 января 2011 г. № 9</w:t>
      </w:r>
      <w:proofErr w:type="gramEnd"/>
      <w:r w:rsidRPr="003B675D">
        <w:rPr>
          <w:rFonts w:ascii="Times New Roman" w:hAnsi="Times New Roman" w:cs="Times New Roman"/>
          <w:i/>
          <w:sz w:val="28"/>
          <w:szCs w:val="28"/>
        </w:rPr>
        <w:t xml:space="preserve"> «Об утверждении </w:t>
      </w:r>
      <w:proofErr w:type="spellStart"/>
      <w:r w:rsidRPr="003B675D">
        <w:rPr>
          <w:rFonts w:ascii="Times New Roman" w:hAnsi="Times New Roman" w:cs="Times New Roman"/>
          <w:i/>
          <w:sz w:val="28"/>
          <w:szCs w:val="28"/>
        </w:rPr>
        <w:t>СанПиН</w:t>
      </w:r>
      <w:proofErr w:type="spellEnd"/>
      <w:r w:rsidRPr="003B675D">
        <w:rPr>
          <w:rFonts w:ascii="Times New Roman" w:hAnsi="Times New Roman" w:cs="Times New Roman"/>
          <w:i/>
          <w:sz w:val="28"/>
          <w:szCs w:val="28"/>
        </w:rPr>
        <w:t xml:space="preserve"> 1.2.2834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3B675D">
        <w:rPr>
          <w:rFonts w:ascii="Times New Roman" w:hAnsi="Times New Roman" w:cs="Times New Roman"/>
          <w:i/>
          <w:sz w:val="28"/>
          <w:szCs w:val="28"/>
        </w:rPr>
        <w:t xml:space="preserve">11 «Дополнения и изменения № 1 к </w:t>
      </w:r>
      <w:proofErr w:type="spellStart"/>
      <w:r w:rsidRPr="003B675D">
        <w:rPr>
          <w:rFonts w:ascii="Times New Roman" w:hAnsi="Times New Roman" w:cs="Times New Roman"/>
          <w:i/>
          <w:sz w:val="28"/>
          <w:szCs w:val="28"/>
        </w:rPr>
        <w:t>СанПиН</w:t>
      </w:r>
      <w:proofErr w:type="spellEnd"/>
      <w:r w:rsidRPr="003B675D">
        <w:rPr>
          <w:rFonts w:ascii="Times New Roman" w:hAnsi="Times New Roman" w:cs="Times New Roman"/>
          <w:i/>
          <w:sz w:val="28"/>
          <w:szCs w:val="28"/>
        </w:rPr>
        <w:t xml:space="preserve"> 1.2.2353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3B675D">
        <w:rPr>
          <w:rFonts w:ascii="Times New Roman" w:hAnsi="Times New Roman" w:cs="Times New Roman"/>
          <w:i/>
          <w:sz w:val="28"/>
          <w:szCs w:val="28"/>
        </w:rPr>
        <w:t>08 «Канцерогенные факторы и основные требования к профилактике канцерогенной опасности» (зарегистрировано Минюстом России 10 марта 2011 г. № 20051). Гигиенические нормативы для канцерогенов устанавливаются в соответствии с ГН 2.2.5.1313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3B675D">
        <w:rPr>
          <w:rFonts w:ascii="Times New Roman" w:hAnsi="Times New Roman" w:cs="Times New Roman"/>
          <w:i/>
          <w:sz w:val="28"/>
          <w:szCs w:val="28"/>
        </w:rPr>
        <w:t>03 и ГН 2.2.5.2308–07.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i/>
          <w:sz w:val="28"/>
          <w:szCs w:val="28"/>
        </w:rPr>
        <w:t>Гигиенические нормативы для веществ, опасных для репродуктивного здоровья человека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3B675D">
        <w:rPr>
          <w:rFonts w:ascii="Times New Roman" w:hAnsi="Times New Roman" w:cs="Times New Roman"/>
          <w:i/>
          <w:sz w:val="28"/>
          <w:szCs w:val="28"/>
        </w:rPr>
        <w:t xml:space="preserve"> устанавливаются в соответствии с ГН 2.2.5.1313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3B675D">
        <w:rPr>
          <w:rFonts w:ascii="Times New Roman" w:hAnsi="Times New Roman" w:cs="Times New Roman"/>
          <w:i/>
          <w:sz w:val="28"/>
          <w:szCs w:val="28"/>
        </w:rPr>
        <w:t>03 и ГН 2.2.5.2308–07.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i/>
          <w:sz w:val="28"/>
          <w:szCs w:val="28"/>
        </w:rPr>
        <w:t>3. Гигиенические нормативы для аллергенов устанавливаются в соответствии с ГН 2.2.5.1313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3B675D">
        <w:rPr>
          <w:rFonts w:ascii="Times New Roman" w:hAnsi="Times New Roman" w:cs="Times New Roman"/>
          <w:i/>
          <w:sz w:val="28"/>
          <w:szCs w:val="28"/>
        </w:rPr>
        <w:t>03 и ГН 2.2.5.2308.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i/>
          <w:sz w:val="28"/>
          <w:szCs w:val="28"/>
        </w:rPr>
        <w:t xml:space="preserve">Перечень </w:t>
      </w:r>
      <w:proofErr w:type="spellStart"/>
      <w:r w:rsidRPr="003B675D">
        <w:rPr>
          <w:rFonts w:ascii="Times New Roman" w:hAnsi="Times New Roman" w:cs="Times New Roman"/>
          <w:i/>
          <w:sz w:val="28"/>
          <w:szCs w:val="28"/>
        </w:rPr>
        <w:t>высокоопасных</w:t>
      </w:r>
      <w:proofErr w:type="spellEnd"/>
      <w:r w:rsidRPr="003B675D">
        <w:rPr>
          <w:rFonts w:ascii="Times New Roman" w:hAnsi="Times New Roman" w:cs="Times New Roman"/>
          <w:i/>
          <w:sz w:val="28"/>
          <w:szCs w:val="28"/>
        </w:rPr>
        <w:t xml:space="preserve"> аллергенов определяется в соответствии с приложением № 3 к Методике проведения специальной оценки условий труда, утвержденной приказом Минтруда России №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i/>
          <w:sz w:val="28"/>
          <w:szCs w:val="28"/>
        </w:rPr>
        <w:t>33н от 24 января 2014 г.</w:t>
      </w:r>
    </w:p>
    <w:p w:rsidR="00125913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i/>
          <w:sz w:val="28"/>
          <w:szCs w:val="28"/>
        </w:rPr>
        <w:t>5. Перечень умеренно опасных аллергенов определяется в соответствии с приложением № 4 к Методике проведения специальной оценки условий труда, утвержденной приказом Минтруда России №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i/>
          <w:sz w:val="28"/>
          <w:szCs w:val="28"/>
        </w:rPr>
        <w:t xml:space="preserve">33н от 24 января 2014 г.  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i/>
          <w:sz w:val="28"/>
          <w:szCs w:val="28"/>
        </w:rPr>
        <w:t xml:space="preserve">6. Перечень противоопухолевых лекарственных средств, гормонов (эстрогенов) определяется в соответствии с приложением № 5 к Методике </w:t>
      </w:r>
      <w:r w:rsidRPr="003B675D">
        <w:rPr>
          <w:rFonts w:ascii="Times New Roman" w:hAnsi="Times New Roman" w:cs="Times New Roman"/>
          <w:i/>
          <w:sz w:val="28"/>
          <w:szCs w:val="28"/>
        </w:rPr>
        <w:lastRenderedPageBreak/>
        <w:t>проведения специальной оценки условий труда, утвержденной приказом Минтруда России №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i/>
          <w:sz w:val="28"/>
          <w:szCs w:val="28"/>
        </w:rPr>
        <w:t>33н от 24 января 2014 г.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i/>
          <w:sz w:val="28"/>
          <w:szCs w:val="28"/>
        </w:rPr>
        <w:t>7. Перечень наркотических анальгетиков определяется в соответствии с приложением № 6 к Методике проведения специальной оценки условий труда, утвержденной приказом Минтруда России №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i/>
          <w:sz w:val="28"/>
          <w:szCs w:val="28"/>
        </w:rPr>
        <w:t>33н от 24 января 2014 г.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i/>
          <w:sz w:val="28"/>
          <w:szCs w:val="28"/>
        </w:rPr>
        <w:t>8. Гигиенические нормативы для ферментов микробного происхождения устанавливаются в соответствии с ГН 2.2.5.1313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i/>
          <w:sz w:val="28"/>
          <w:szCs w:val="28"/>
        </w:rPr>
        <w:t>03 и  ГН 2.2.5.2308–07. Перечень ферментов микробного происхождения определяется в соответствии с приложением № 7 к Методике проведения специальной оценки условий труда, утвержденной приказом Минтруда России №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i/>
          <w:sz w:val="28"/>
          <w:szCs w:val="28"/>
        </w:rPr>
        <w:t>33н от 24 января 2014 г.</w:t>
      </w:r>
    </w:p>
    <w:p w:rsidR="00125913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3B675D">
        <w:rPr>
          <w:rFonts w:ascii="Times New Roman" w:hAnsi="Times New Roman" w:cs="Times New Roman"/>
          <w:sz w:val="28"/>
          <w:szCs w:val="28"/>
        </w:rPr>
        <w:t>Таблица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3B675D">
        <w:rPr>
          <w:rFonts w:ascii="Times New Roman" w:hAnsi="Times New Roman" w:cs="Times New Roman"/>
          <w:sz w:val="28"/>
          <w:szCs w:val="28"/>
        </w:rPr>
        <w:t>Величина рисков (BS 8800)</w:t>
      </w:r>
    </w:p>
    <w:tbl>
      <w:tblPr>
        <w:tblStyle w:val="20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25913" w:rsidRPr="003B675D" w:rsidTr="000E59E2">
        <w:tc>
          <w:tcPr>
            <w:tcW w:w="2392" w:type="dxa"/>
            <w:vMerge w:val="restart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</w:p>
        </w:tc>
        <w:tc>
          <w:tcPr>
            <w:tcW w:w="7179" w:type="dxa"/>
            <w:gridSpan w:val="3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Последствия</w:t>
            </w:r>
          </w:p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13" w:rsidRPr="003B675D" w:rsidTr="000E59E2">
        <w:tc>
          <w:tcPr>
            <w:tcW w:w="2392" w:type="dxa"/>
            <w:vMerge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езначительные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меренно значимые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ерьезные</w:t>
            </w:r>
          </w:p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13" w:rsidRPr="003B675D" w:rsidTr="000E59E2">
        <w:tc>
          <w:tcPr>
            <w:tcW w:w="2392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Маловероятно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алозначимый риск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алый риск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меренный риск</w:t>
            </w:r>
          </w:p>
        </w:tc>
      </w:tr>
      <w:tr w:rsidR="00125913" w:rsidRPr="003B675D" w:rsidTr="000E59E2">
        <w:tc>
          <w:tcPr>
            <w:tcW w:w="2392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Вероятно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алый риск</w:t>
            </w:r>
          </w:p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меренный риск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начительный риск</w:t>
            </w:r>
          </w:p>
        </w:tc>
      </w:tr>
      <w:tr w:rsidR="00125913" w:rsidRPr="003B675D" w:rsidTr="000E59E2">
        <w:tc>
          <w:tcPr>
            <w:tcW w:w="2392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Высокая вероятность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меренный риск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начительный риск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едопустимый риск</w:t>
            </w:r>
          </w:p>
        </w:tc>
      </w:tr>
    </w:tbl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913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3B675D">
        <w:rPr>
          <w:rFonts w:ascii="Times New Roman" w:hAnsi="Times New Roman" w:cs="Times New Roman"/>
          <w:sz w:val="28"/>
          <w:szCs w:val="28"/>
        </w:rPr>
        <w:t xml:space="preserve">Таблица 4 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3B675D">
        <w:rPr>
          <w:rFonts w:ascii="Times New Roman" w:hAnsi="Times New Roman" w:cs="Times New Roman"/>
          <w:sz w:val="28"/>
          <w:szCs w:val="28"/>
        </w:rPr>
        <w:t>Карта оценки риска</w:t>
      </w:r>
    </w:p>
    <w:tbl>
      <w:tblPr>
        <w:tblStyle w:val="a3"/>
        <w:tblW w:w="0" w:type="auto"/>
        <w:tblLayout w:type="fixed"/>
        <w:tblLook w:val="04A0"/>
      </w:tblPr>
      <w:tblGrid>
        <w:gridCol w:w="812"/>
        <w:gridCol w:w="926"/>
        <w:gridCol w:w="213"/>
        <w:gridCol w:w="788"/>
        <w:gridCol w:w="1247"/>
        <w:gridCol w:w="1084"/>
        <w:gridCol w:w="1625"/>
        <w:gridCol w:w="1351"/>
        <w:gridCol w:w="1525"/>
      </w:tblGrid>
      <w:tr w:rsidR="00125913" w:rsidRPr="003B675D" w:rsidTr="000E59E2">
        <w:tc>
          <w:tcPr>
            <w:tcW w:w="812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Фак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  <w:proofErr w:type="spellEnd"/>
            <w:proofErr w:type="gramEnd"/>
          </w:p>
        </w:tc>
        <w:tc>
          <w:tcPr>
            <w:tcW w:w="1139" w:type="dxa"/>
            <w:gridSpan w:val="2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  <w:proofErr w:type="spellEnd"/>
            <w:proofErr w:type="gramEnd"/>
          </w:p>
        </w:tc>
        <w:tc>
          <w:tcPr>
            <w:tcW w:w="788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чина</w:t>
            </w:r>
            <w:proofErr w:type="spellEnd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proofErr w:type="gramEnd"/>
          </w:p>
        </w:tc>
        <w:tc>
          <w:tcPr>
            <w:tcW w:w="1247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Послед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proofErr w:type="spellEnd"/>
            <w:proofErr w:type="gramEnd"/>
          </w:p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Вероя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тность</w:t>
            </w:r>
            <w:proofErr w:type="spellEnd"/>
            <w:proofErr w:type="gramEnd"/>
          </w:p>
        </w:tc>
        <w:tc>
          <w:tcPr>
            <w:tcW w:w="1625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мость</w:t>
            </w:r>
            <w:proofErr w:type="spellEnd"/>
            <w:proofErr w:type="gramEnd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</w:t>
            </w:r>
            <w:proofErr w:type="spell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мероприя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  <w:proofErr w:type="spellEnd"/>
          </w:p>
        </w:tc>
        <w:tc>
          <w:tcPr>
            <w:tcW w:w="1351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Фактор, </w:t>
            </w:r>
            <w:proofErr w:type="spellStart"/>
            <w:proofErr w:type="gram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опреде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ляющий</w:t>
            </w:r>
            <w:proofErr w:type="spellEnd"/>
            <w:proofErr w:type="gramEnd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 важность </w:t>
            </w:r>
            <w:proofErr w:type="spell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  <w:proofErr w:type="spellEnd"/>
          </w:p>
        </w:tc>
        <w:tc>
          <w:tcPr>
            <w:tcW w:w="1525" w:type="dxa"/>
          </w:tcPr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Фактор, </w:t>
            </w:r>
            <w:proofErr w:type="spellStart"/>
            <w:proofErr w:type="gram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определя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ющий</w:t>
            </w:r>
            <w:proofErr w:type="spellEnd"/>
            <w:proofErr w:type="gramEnd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 сложность</w:t>
            </w:r>
          </w:p>
          <w:p w:rsidR="00125913" w:rsidRPr="003B675D" w:rsidRDefault="00125913" w:rsidP="000E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ыполне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ятий</w:t>
            </w:r>
            <w:proofErr w:type="spellEnd"/>
          </w:p>
        </w:tc>
      </w:tr>
      <w:tr w:rsidR="00125913" w:rsidRPr="003B675D" w:rsidTr="000E59E2">
        <w:tc>
          <w:tcPr>
            <w:tcW w:w="812" w:type="dxa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26" w:type="dxa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1" w:type="dxa"/>
            <w:gridSpan w:val="2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4" w:type="dxa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5" w:type="dxa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1" w:type="dxa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5" w:type="dxa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25913" w:rsidRPr="003B675D" w:rsidTr="000E59E2">
        <w:tc>
          <w:tcPr>
            <w:tcW w:w="812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gridSpan w:val="2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913" w:rsidRPr="003B675D" w:rsidTr="000E59E2">
        <w:tc>
          <w:tcPr>
            <w:tcW w:w="812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gridSpan w:val="2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913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ED9">
        <w:rPr>
          <w:rFonts w:ascii="Times New Roman" w:hAnsi="Times New Roman" w:cs="Times New Roman"/>
          <w:i/>
          <w:sz w:val="28"/>
          <w:szCs w:val="28"/>
        </w:rPr>
        <w:t>Примечание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i/>
          <w:sz w:val="28"/>
          <w:szCs w:val="28"/>
        </w:rPr>
        <w:t>1. В столбце 1 проставляется код фактора из табл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B675D">
        <w:rPr>
          <w:rFonts w:ascii="Times New Roman" w:hAnsi="Times New Roman" w:cs="Times New Roman"/>
          <w:i/>
          <w:sz w:val="28"/>
          <w:szCs w:val="28"/>
        </w:rPr>
        <w:t xml:space="preserve"> 2.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i/>
          <w:sz w:val="28"/>
          <w:szCs w:val="28"/>
        </w:rPr>
        <w:t>2. В столбце 2 описывается возможное событие от данного фактора риска (например, отравление, ожог, профессиональное заболевание и 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i/>
          <w:sz w:val="28"/>
          <w:szCs w:val="28"/>
        </w:rPr>
        <w:t xml:space="preserve">д.). Это достаточно сложный </w:t>
      </w:r>
      <w:r>
        <w:rPr>
          <w:rFonts w:ascii="Times New Roman" w:hAnsi="Times New Roman" w:cs="Times New Roman"/>
          <w:i/>
          <w:sz w:val="28"/>
          <w:szCs w:val="28"/>
        </w:rPr>
        <w:t xml:space="preserve">для заполнения </w:t>
      </w:r>
      <w:r w:rsidRPr="003B675D">
        <w:rPr>
          <w:rFonts w:ascii="Times New Roman" w:hAnsi="Times New Roman" w:cs="Times New Roman"/>
          <w:i/>
          <w:sz w:val="28"/>
          <w:szCs w:val="28"/>
        </w:rPr>
        <w:t xml:space="preserve">столбец, поскольку необходимо описать последствия воздействия фактора, а для этого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следует </w:t>
      </w:r>
      <w:r w:rsidRPr="003B675D">
        <w:rPr>
          <w:rFonts w:ascii="Times New Roman" w:hAnsi="Times New Roman" w:cs="Times New Roman"/>
          <w:i/>
          <w:sz w:val="28"/>
          <w:szCs w:val="28"/>
        </w:rPr>
        <w:t>знать физическую природу фактора. Можно воспользоваться учебной литературой по охране труда, производственной санитарии и гигиене.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i/>
          <w:sz w:val="28"/>
          <w:szCs w:val="28"/>
        </w:rPr>
        <w:t>Величина риска берется из табл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B675D">
        <w:rPr>
          <w:rFonts w:ascii="Times New Roman" w:hAnsi="Times New Roman" w:cs="Times New Roman"/>
          <w:i/>
          <w:sz w:val="28"/>
          <w:szCs w:val="28"/>
        </w:rPr>
        <w:t xml:space="preserve"> 3.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i/>
          <w:sz w:val="28"/>
          <w:szCs w:val="28"/>
        </w:rPr>
        <w:t>4. В столбце 4 проставляем уровень последствий из табл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B675D">
        <w:rPr>
          <w:rFonts w:ascii="Times New Roman" w:hAnsi="Times New Roman" w:cs="Times New Roman"/>
          <w:i/>
          <w:sz w:val="28"/>
          <w:szCs w:val="28"/>
        </w:rPr>
        <w:t xml:space="preserve"> 5.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i/>
          <w:sz w:val="28"/>
          <w:szCs w:val="28"/>
        </w:rPr>
        <w:t>5. В столбце 5 проставляем уровень вероятности из табл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B675D">
        <w:rPr>
          <w:rFonts w:ascii="Times New Roman" w:hAnsi="Times New Roman" w:cs="Times New Roman"/>
          <w:i/>
          <w:sz w:val="28"/>
          <w:szCs w:val="28"/>
        </w:rPr>
        <w:t xml:space="preserve"> 6.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i/>
          <w:sz w:val="28"/>
          <w:szCs w:val="28"/>
        </w:rPr>
        <w:t>6. В столбце 6 проставляем необходимость проведения мероприятий из табл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B675D">
        <w:rPr>
          <w:rFonts w:ascii="Times New Roman" w:hAnsi="Times New Roman" w:cs="Times New Roman"/>
          <w:i/>
          <w:sz w:val="28"/>
          <w:szCs w:val="28"/>
        </w:rPr>
        <w:t xml:space="preserve"> 7 и 9.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i/>
          <w:sz w:val="28"/>
          <w:szCs w:val="28"/>
        </w:rPr>
        <w:t>7. В столбце 7 проставляем фактор важности мероприятий по табл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B675D">
        <w:rPr>
          <w:rFonts w:ascii="Times New Roman" w:hAnsi="Times New Roman" w:cs="Times New Roman"/>
          <w:i/>
          <w:sz w:val="28"/>
          <w:szCs w:val="28"/>
        </w:rPr>
        <w:t xml:space="preserve"> 8.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75D">
        <w:rPr>
          <w:rFonts w:ascii="Times New Roman" w:hAnsi="Times New Roman" w:cs="Times New Roman"/>
          <w:i/>
          <w:sz w:val="28"/>
          <w:szCs w:val="28"/>
        </w:rPr>
        <w:t>8. В столбце 8 проставляем фактор сложности выполнения мероприятий по табл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B675D">
        <w:rPr>
          <w:rFonts w:ascii="Times New Roman" w:hAnsi="Times New Roman" w:cs="Times New Roman"/>
          <w:i/>
          <w:sz w:val="28"/>
          <w:szCs w:val="28"/>
        </w:rPr>
        <w:t xml:space="preserve"> 8.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913" w:rsidRDefault="00125913" w:rsidP="001259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3B675D">
        <w:rPr>
          <w:rFonts w:ascii="Times New Roman" w:hAnsi="Times New Roman" w:cs="Times New Roman"/>
          <w:sz w:val="28"/>
          <w:szCs w:val="28"/>
        </w:rPr>
        <w:t>Таблица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3" w:rsidRPr="003B675D" w:rsidRDefault="00125913" w:rsidP="001259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3B675D">
        <w:rPr>
          <w:rFonts w:ascii="Times New Roman" w:hAnsi="Times New Roman" w:cs="Times New Roman"/>
          <w:sz w:val="28"/>
          <w:szCs w:val="28"/>
        </w:rPr>
        <w:t>Критерии определения серьезности последствий</w:t>
      </w:r>
    </w:p>
    <w:tbl>
      <w:tblPr>
        <w:tblStyle w:val="20"/>
        <w:tblW w:w="9464" w:type="dxa"/>
        <w:tblLook w:val="04A0"/>
      </w:tblPr>
      <w:tblGrid>
        <w:gridCol w:w="2943"/>
        <w:gridCol w:w="6521"/>
      </w:tblGrid>
      <w:tr w:rsidR="00125913" w:rsidRPr="003B675D" w:rsidTr="000E59E2">
        <w:tc>
          <w:tcPr>
            <w:tcW w:w="9464" w:type="dxa"/>
            <w:gridSpan w:val="2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Признаки серьезности последствий</w:t>
            </w:r>
          </w:p>
        </w:tc>
      </w:tr>
      <w:tr w:rsidR="00125913" w:rsidRPr="003B675D" w:rsidTr="000E59E2">
        <w:tc>
          <w:tcPr>
            <w:tcW w:w="2943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Незначительные</w:t>
            </w:r>
          </w:p>
        </w:tc>
        <w:tc>
          <w:tcPr>
            <w:tcW w:w="6521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Событие вызывает кратковременное заболевание или нарушение здоровья,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е не предполага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т обращение за медицинской помощью. Возможно отсутствие на работе не более трех дней. Например, головная боль или синяк.</w:t>
            </w:r>
          </w:p>
        </w:tc>
      </w:tr>
      <w:tr w:rsidR="00125913" w:rsidRPr="003B675D" w:rsidTr="000E59E2">
        <w:tc>
          <w:tcPr>
            <w:tcW w:w="2943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Умеренно значимые</w:t>
            </w:r>
          </w:p>
        </w:tc>
        <w:tc>
          <w:tcPr>
            <w:tcW w:w="6521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Событие вызывает значительные и длительные 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последствия. Предполагает обращение за медицинской помощью. Вызывает от 3 до 30 дней отсутствия на работе.</w:t>
            </w:r>
          </w:p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Например, резаная рана или слабые ожоги.</w:t>
            </w:r>
          </w:p>
        </w:tc>
      </w:tr>
      <w:tr w:rsidR="00125913" w:rsidRPr="003B675D" w:rsidTr="000E59E2">
        <w:tc>
          <w:tcPr>
            <w:tcW w:w="2943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Серьезные</w:t>
            </w:r>
          </w:p>
        </w:tc>
        <w:tc>
          <w:tcPr>
            <w:tcW w:w="6521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Событие вызывает постоянные и необратимые повреждения. Предполагает стационарное лечение и вызывает отсутствие на работе более 30 дней. Например, серьезные профессиональные заболевания, стойкая нетрудоспособность или смерть</w:t>
            </w:r>
          </w:p>
        </w:tc>
      </w:tr>
    </w:tbl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3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3B675D">
        <w:rPr>
          <w:rFonts w:ascii="Times New Roman" w:hAnsi="Times New Roman" w:cs="Times New Roman"/>
          <w:sz w:val="28"/>
          <w:szCs w:val="28"/>
        </w:rPr>
        <w:t>Таблица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3B675D">
        <w:rPr>
          <w:rFonts w:ascii="Times New Roman" w:hAnsi="Times New Roman" w:cs="Times New Roman"/>
          <w:sz w:val="28"/>
          <w:szCs w:val="28"/>
        </w:rPr>
        <w:t>Критерии  определени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675D">
        <w:rPr>
          <w:rFonts w:ascii="Times New Roman" w:hAnsi="Times New Roman" w:cs="Times New Roman"/>
          <w:sz w:val="28"/>
          <w:szCs w:val="28"/>
        </w:rPr>
        <w:t xml:space="preserve"> вероятности события</w:t>
      </w:r>
    </w:p>
    <w:tbl>
      <w:tblPr>
        <w:tblStyle w:val="20"/>
        <w:tblW w:w="0" w:type="auto"/>
        <w:tblLook w:val="04A0"/>
      </w:tblPr>
      <w:tblGrid>
        <w:gridCol w:w="3085"/>
        <w:gridCol w:w="6379"/>
      </w:tblGrid>
      <w:tr w:rsidR="00125913" w:rsidRPr="003B675D" w:rsidTr="000E59E2">
        <w:tc>
          <w:tcPr>
            <w:tcW w:w="9464" w:type="dxa"/>
            <w:gridSpan w:val="2"/>
          </w:tcPr>
          <w:p w:rsidR="00125913" w:rsidRPr="003B675D" w:rsidRDefault="00125913" w:rsidP="000E59E2">
            <w:pPr>
              <w:tabs>
                <w:tab w:val="right" w:pos="45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Признаки вероятности события</w:t>
            </w:r>
          </w:p>
        </w:tc>
      </w:tr>
      <w:tr w:rsidR="00125913" w:rsidRPr="003B675D" w:rsidTr="000E59E2">
        <w:tc>
          <w:tcPr>
            <w:tcW w:w="3085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Маловероятно</w:t>
            </w:r>
          </w:p>
        </w:tc>
        <w:tc>
          <w:tcPr>
            <w:tcW w:w="6379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Событие, которое возникает редко и нерегулярно. Например, поверхность тротуаров зимой становится скользкой ото льда.</w:t>
            </w:r>
          </w:p>
        </w:tc>
      </w:tr>
      <w:tr w:rsidR="00125913" w:rsidRPr="003B675D" w:rsidTr="000E59E2">
        <w:tc>
          <w:tcPr>
            <w:tcW w:w="3085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Вероятно</w:t>
            </w:r>
          </w:p>
        </w:tc>
        <w:tc>
          <w:tcPr>
            <w:tcW w:w="6379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Событие, которое возникает время от времени, но нерегулярно. Например, во время техобслуживания подъемника груз нужно поднимать вручную.</w:t>
            </w:r>
          </w:p>
        </w:tc>
      </w:tr>
      <w:tr w:rsidR="00125913" w:rsidRPr="003B675D" w:rsidTr="000E59E2">
        <w:tc>
          <w:tcPr>
            <w:tcW w:w="3085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Высокая вероятность</w:t>
            </w:r>
          </w:p>
        </w:tc>
        <w:tc>
          <w:tcPr>
            <w:tcW w:w="6379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Событие, которое возникает часто и регулярно. Регулярное движение погрузчика вызывает опасность столкновения</w:t>
            </w:r>
          </w:p>
        </w:tc>
      </w:tr>
    </w:tbl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913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3B675D">
        <w:rPr>
          <w:rFonts w:ascii="Times New Roman" w:hAnsi="Times New Roman" w:cs="Times New Roman"/>
          <w:sz w:val="28"/>
          <w:szCs w:val="28"/>
        </w:rPr>
        <w:t>Таблица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3B675D">
        <w:rPr>
          <w:rFonts w:ascii="Times New Roman" w:hAnsi="Times New Roman" w:cs="Times New Roman"/>
          <w:sz w:val="28"/>
          <w:szCs w:val="28"/>
        </w:rPr>
        <w:t>Необходимость проведения мероприятий</w:t>
      </w:r>
    </w:p>
    <w:tbl>
      <w:tblPr>
        <w:tblStyle w:val="20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25913" w:rsidRPr="003B675D" w:rsidTr="000E59E2">
        <w:tc>
          <w:tcPr>
            <w:tcW w:w="2392" w:type="dxa"/>
            <w:vMerge w:val="restart"/>
          </w:tcPr>
          <w:p w:rsidR="00125913" w:rsidRPr="003B675D" w:rsidRDefault="00125913" w:rsidP="000E59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913" w:rsidRPr="003B675D" w:rsidRDefault="00125913" w:rsidP="000E59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913" w:rsidRPr="003B675D" w:rsidRDefault="00125913" w:rsidP="000E59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</w:p>
        </w:tc>
        <w:tc>
          <w:tcPr>
            <w:tcW w:w="7179" w:type="dxa"/>
            <w:gridSpan w:val="3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Последствия</w:t>
            </w:r>
          </w:p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13" w:rsidRPr="003B675D" w:rsidTr="000E59E2">
        <w:tc>
          <w:tcPr>
            <w:tcW w:w="2392" w:type="dxa"/>
            <w:vMerge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езначительные</w:t>
            </w:r>
          </w:p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меренно значимые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ерьезные</w:t>
            </w:r>
          </w:p>
        </w:tc>
      </w:tr>
      <w:tr w:rsidR="00125913" w:rsidRPr="003B675D" w:rsidTr="000E59E2">
        <w:tc>
          <w:tcPr>
            <w:tcW w:w="2392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Маловероятно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езначительная 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езначительная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меренная</w:t>
            </w:r>
          </w:p>
        </w:tc>
      </w:tr>
      <w:tr w:rsidR="00125913" w:rsidRPr="003B675D" w:rsidTr="000E59E2">
        <w:tc>
          <w:tcPr>
            <w:tcW w:w="2392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Вероятно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езначительная 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меренная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начительная</w:t>
            </w:r>
          </w:p>
        </w:tc>
      </w:tr>
      <w:tr w:rsidR="00125913" w:rsidRPr="003B675D" w:rsidTr="000E59E2">
        <w:tc>
          <w:tcPr>
            <w:tcW w:w="2392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Высокая вероятность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меренная 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начительная</w:t>
            </w:r>
          </w:p>
        </w:tc>
        <w:tc>
          <w:tcPr>
            <w:tcW w:w="2393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еотложная</w:t>
            </w:r>
          </w:p>
        </w:tc>
      </w:tr>
    </w:tbl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913" w:rsidRDefault="00125913" w:rsidP="0012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  <w:r w:rsidRPr="003B675D">
        <w:rPr>
          <w:rFonts w:ascii="Times New Roman" w:hAnsi="Times New Roman" w:cs="Times New Roman"/>
          <w:sz w:val="28"/>
          <w:szCs w:val="28"/>
        </w:rPr>
        <w:t>Таблица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3" w:rsidRPr="003B675D" w:rsidRDefault="00125913" w:rsidP="0012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B675D">
        <w:rPr>
          <w:rFonts w:ascii="Times New Roman" w:hAnsi="Times New Roman" w:cs="Times New Roman"/>
          <w:sz w:val="28"/>
          <w:szCs w:val="28"/>
        </w:rPr>
        <w:t>Факторы, определяющие важность и сложность выполнения мероприятий</w:t>
      </w:r>
    </w:p>
    <w:p w:rsidR="00125913" w:rsidRPr="003B675D" w:rsidRDefault="00125913" w:rsidP="0012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0"/>
        <w:tblW w:w="0" w:type="auto"/>
        <w:tblLook w:val="04A0"/>
      </w:tblPr>
      <w:tblGrid>
        <w:gridCol w:w="4785"/>
        <w:gridCol w:w="4786"/>
      </w:tblGrid>
      <w:tr w:rsidR="00125913" w:rsidRPr="003B675D" w:rsidTr="000E59E2">
        <w:tc>
          <w:tcPr>
            <w:tcW w:w="4785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Фактор, определяющий важность мероприятий</w:t>
            </w:r>
          </w:p>
        </w:tc>
        <w:tc>
          <w:tcPr>
            <w:tcW w:w="4786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Фактор, определяющий сложность</w:t>
            </w:r>
          </w:p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выполнения мероприятий</w:t>
            </w:r>
          </w:p>
        </w:tc>
      </w:tr>
      <w:tr w:rsidR="00125913" w:rsidRPr="003B675D" w:rsidTr="000E59E2">
        <w:tc>
          <w:tcPr>
            <w:tcW w:w="4785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Повышение уровня безопасности</w:t>
            </w:r>
          </w:p>
        </w:tc>
        <w:tc>
          <w:tcPr>
            <w:tcW w:w="4786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Время, требуемое на выполнение</w:t>
            </w:r>
          </w:p>
        </w:tc>
      </w:tr>
      <w:tr w:rsidR="00125913" w:rsidRPr="003B675D" w:rsidTr="000E59E2">
        <w:tc>
          <w:tcPr>
            <w:tcW w:w="4785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Направленность на соблюдение законов и требований</w:t>
            </w:r>
          </w:p>
        </w:tc>
        <w:tc>
          <w:tcPr>
            <w:tcW w:w="4786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Финансовые затраты</w:t>
            </w:r>
          </w:p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13" w:rsidRPr="003B675D" w:rsidTr="000E59E2">
        <w:tc>
          <w:tcPr>
            <w:tcW w:w="4785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Улучшение надежности работы</w:t>
            </w:r>
          </w:p>
        </w:tc>
        <w:tc>
          <w:tcPr>
            <w:tcW w:w="4786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Трудоемкость планирования и выполнения</w:t>
            </w:r>
          </w:p>
        </w:tc>
      </w:tr>
      <w:tr w:rsidR="00125913" w:rsidRPr="003B675D" w:rsidTr="000E59E2">
        <w:tc>
          <w:tcPr>
            <w:tcW w:w="4785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Улучшение гибкости и производительности труда</w:t>
            </w:r>
          </w:p>
        </w:tc>
        <w:tc>
          <w:tcPr>
            <w:tcW w:w="4786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Возможность выполнения собственными силами</w:t>
            </w:r>
          </w:p>
        </w:tc>
      </w:tr>
      <w:tr w:rsidR="00125913" w:rsidRPr="003B675D" w:rsidTr="000E59E2">
        <w:tc>
          <w:tcPr>
            <w:tcW w:w="4785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Удовлетворенность персонала и специалистов</w:t>
            </w:r>
          </w:p>
        </w:tc>
        <w:tc>
          <w:tcPr>
            <w:tcW w:w="4786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Возможное сопротивление изменениям</w:t>
            </w:r>
          </w:p>
        </w:tc>
      </w:tr>
    </w:tbl>
    <w:p w:rsidR="00125913" w:rsidRPr="003B675D" w:rsidRDefault="00125913" w:rsidP="0012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913" w:rsidRDefault="00125913" w:rsidP="0012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3B675D">
        <w:rPr>
          <w:rFonts w:ascii="Times New Roman" w:hAnsi="Times New Roman" w:cs="Times New Roman"/>
          <w:sz w:val="28"/>
          <w:szCs w:val="28"/>
        </w:rPr>
        <w:t>Таблица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3" w:rsidRPr="003B675D" w:rsidRDefault="00125913" w:rsidP="0012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75D">
        <w:rPr>
          <w:rFonts w:ascii="Times New Roman" w:hAnsi="Times New Roman" w:cs="Times New Roman"/>
          <w:sz w:val="28"/>
          <w:szCs w:val="28"/>
        </w:rPr>
        <w:t>Инструкции о значимости риска и принятии решения о необходимости и очередности мероприятий</w:t>
      </w:r>
    </w:p>
    <w:p w:rsidR="00125913" w:rsidRPr="003B675D" w:rsidRDefault="00125913" w:rsidP="0012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0"/>
        <w:tblW w:w="9606" w:type="dxa"/>
        <w:tblLook w:val="04A0"/>
      </w:tblPr>
      <w:tblGrid>
        <w:gridCol w:w="3085"/>
        <w:gridCol w:w="6521"/>
      </w:tblGrid>
      <w:tr w:rsidR="00125913" w:rsidRPr="003B675D" w:rsidTr="000E59E2">
        <w:tc>
          <w:tcPr>
            <w:tcW w:w="3085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Величина риска</w:t>
            </w:r>
          </w:p>
        </w:tc>
        <w:tc>
          <w:tcPr>
            <w:tcW w:w="6521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Необходимые мероприятия для уменьшения риска</w:t>
            </w:r>
          </w:p>
        </w:tc>
      </w:tr>
      <w:tr w:rsidR="00125913" w:rsidRPr="003B675D" w:rsidTr="000E59E2">
        <w:tc>
          <w:tcPr>
            <w:tcW w:w="3085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Малозначимый риск</w:t>
            </w:r>
          </w:p>
        </w:tc>
        <w:tc>
          <w:tcPr>
            <w:tcW w:w="6521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Риск так мал, что мероприятий не требуется.</w:t>
            </w:r>
          </w:p>
        </w:tc>
      </w:tr>
      <w:tr w:rsidR="00125913" w:rsidRPr="003B675D" w:rsidTr="000E59E2">
        <w:tc>
          <w:tcPr>
            <w:tcW w:w="3085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Малый риск</w:t>
            </w:r>
          </w:p>
        </w:tc>
        <w:tc>
          <w:tcPr>
            <w:tcW w:w="6521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Мероприятия необязательны, но за ситуацией нужно следить, чтобы риск был управляемым.</w:t>
            </w:r>
          </w:p>
        </w:tc>
      </w:tr>
      <w:tr w:rsidR="00125913" w:rsidRPr="003B675D" w:rsidTr="000E59E2">
        <w:tc>
          <w:tcPr>
            <w:tcW w:w="3085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Умеренный риск</w:t>
            </w:r>
          </w:p>
        </w:tc>
        <w:tc>
          <w:tcPr>
            <w:tcW w:w="6521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Мероприятия для уменьшения риска необходимы, но их проведение можно спланировать и провести точно по графику.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Если риск вызывает серьезные последствия, необходимо выяснить вероятность события </w:t>
            </w:r>
            <w:proofErr w:type="gramStart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поточнее</w:t>
            </w:r>
            <w:proofErr w:type="gramEnd"/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5913" w:rsidRPr="003B675D" w:rsidTr="000E59E2">
        <w:tc>
          <w:tcPr>
            <w:tcW w:w="3085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Значительный риск</w:t>
            </w:r>
          </w:p>
        </w:tc>
        <w:tc>
          <w:tcPr>
            <w:tcW w:w="6521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Мероприятия по снижению величины риска обязательны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 и их проведение следует начать срочно.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Работа в условиях риска должна быть немедленно прекращена, и ее нельзя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возобновлять прежде, чем риск будет уменьшен.</w:t>
            </w:r>
          </w:p>
        </w:tc>
      </w:tr>
      <w:tr w:rsidR="00125913" w:rsidRPr="003B675D" w:rsidTr="000E59E2">
        <w:tc>
          <w:tcPr>
            <w:tcW w:w="3085" w:type="dxa"/>
          </w:tcPr>
          <w:p w:rsidR="00125913" w:rsidRPr="003B675D" w:rsidRDefault="00125913" w:rsidP="000E5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Недопустимый риск</w:t>
            </w:r>
          </w:p>
        </w:tc>
        <w:tc>
          <w:tcPr>
            <w:tcW w:w="6521" w:type="dxa"/>
          </w:tcPr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Мероприятия по ликвидации риска обязательны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 xml:space="preserve"> и их проведение необходимо начинать немедленно.</w:t>
            </w:r>
          </w:p>
          <w:p w:rsidR="00125913" w:rsidRPr="003B675D" w:rsidRDefault="00125913" w:rsidP="000E5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sz w:val="28"/>
                <w:szCs w:val="28"/>
              </w:rPr>
              <w:t>Работа в условиях риска должна быть немедленно прекращена, и ее нельзя возобновлять прежде, чем риск будет ликвидирован</w:t>
            </w:r>
          </w:p>
        </w:tc>
      </w:tr>
    </w:tbl>
    <w:p w:rsidR="00125913" w:rsidRPr="003B675D" w:rsidRDefault="00125913" w:rsidP="00125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25913" w:rsidRPr="003B675D" w:rsidRDefault="00125913" w:rsidP="00125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25913" w:rsidRDefault="00125913" w:rsidP="00125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25913" w:rsidRDefault="00125913" w:rsidP="00125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3B675D">
        <w:rPr>
          <w:rFonts w:ascii="Times New Roman" w:hAnsi="Times New Roman" w:cs="Times New Roman"/>
          <w:bCs/>
          <w:sz w:val="28"/>
          <w:szCs w:val="28"/>
        </w:rPr>
        <w:t xml:space="preserve">Таблица 10 </w:t>
      </w:r>
    </w:p>
    <w:p w:rsidR="00125913" w:rsidRPr="003B675D" w:rsidRDefault="00125913" w:rsidP="00125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Pr="003B675D">
        <w:rPr>
          <w:rFonts w:ascii="Times New Roman" w:hAnsi="Times New Roman" w:cs="Times New Roman"/>
          <w:bCs/>
          <w:sz w:val="28"/>
          <w:szCs w:val="28"/>
        </w:rPr>
        <w:t>Карта мероприятий по снижению химических рисков</w:t>
      </w:r>
    </w:p>
    <w:p w:rsidR="00125913" w:rsidRPr="003B675D" w:rsidRDefault="00125913" w:rsidP="00125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959"/>
        <w:gridCol w:w="1452"/>
        <w:gridCol w:w="1383"/>
        <w:gridCol w:w="1417"/>
        <w:gridCol w:w="1064"/>
        <w:gridCol w:w="1488"/>
        <w:gridCol w:w="1843"/>
      </w:tblGrid>
      <w:tr w:rsidR="00125913" w:rsidRPr="003B675D" w:rsidTr="000E59E2">
        <w:tc>
          <w:tcPr>
            <w:tcW w:w="959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Код </w:t>
            </w:r>
            <w:proofErr w:type="spellStart"/>
            <w:proofErr w:type="gramStart"/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фак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тора</w:t>
            </w:r>
            <w:proofErr w:type="spellEnd"/>
            <w:proofErr w:type="gramEnd"/>
          </w:p>
        </w:tc>
        <w:tc>
          <w:tcPr>
            <w:tcW w:w="1452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опасной ситуации</w:t>
            </w:r>
          </w:p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Послед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ствия</w:t>
            </w:r>
            <w:proofErr w:type="spellEnd"/>
            <w:proofErr w:type="gramEnd"/>
          </w:p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Вероят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ность</w:t>
            </w:r>
            <w:proofErr w:type="spellEnd"/>
            <w:proofErr w:type="gramEnd"/>
          </w:p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4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Вели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чина</w:t>
            </w:r>
            <w:proofErr w:type="spellEnd"/>
            <w:proofErr w:type="gramEnd"/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риска</w:t>
            </w:r>
          </w:p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8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ятия</w:t>
            </w:r>
            <w:proofErr w:type="spellEnd"/>
            <w:proofErr w:type="gramEnd"/>
          </w:p>
        </w:tc>
        <w:tc>
          <w:tcPr>
            <w:tcW w:w="1843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Важность мероприятия</w:t>
            </w:r>
          </w:p>
        </w:tc>
      </w:tr>
      <w:tr w:rsidR="00125913" w:rsidRPr="003B675D" w:rsidTr="000E59E2">
        <w:tc>
          <w:tcPr>
            <w:tcW w:w="959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52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75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125913" w:rsidRPr="003B675D" w:rsidTr="000E59E2">
        <w:tc>
          <w:tcPr>
            <w:tcW w:w="959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4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8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25913" w:rsidRPr="003B675D" w:rsidTr="000E59E2">
        <w:tc>
          <w:tcPr>
            <w:tcW w:w="959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4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8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125913" w:rsidRPr="003B675D" w:rsidRDefault="00125913" w:rsidP="000E5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25913" w:rsidRPr="003B675D" w:rsidRDefault="00125913" w:rsidP="00125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25913" w:rsidRDefault="00125913" w:rsidP="00125913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3B675D">
        <w:rPr>
          <w:rFonts w:ascii="Times New Roman" w:hAnsi="Times New Roman" w:cs="Times New Roman"/>
          <w:bCs/>
          <w:i/>
          <w:sz w:val="28"/>
          <w:szCs w:val="28"/>
        </w:rPr>
        <w:t>Примечание</w:t>
      </w:r>
    </w:p>
    <w:p w:rsidR="00125913" w:rsidRPr="003B675D" w:rsidRDefault="00125913" w:rsidP="00125913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3B675D">
        <w:rPr>
          <w:rFonts w:ascii="Times New Roman" w:hAnsi="Times New Roman" w:cs="Times New Roman"/>
          <w:bCs/>
          <w:i/>
          <w:sz w:val="28"/>
          <w:szCs w:val="28"/>
        </w:rPr>
        <w:t>1. В столбце 6 указываются конкретные мероприятия по снижению риска (коллективные и индивидуальные средства защиты, режим труда и отдыха, замена оборудования, материалов и т.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B675D">
        <w:rPr>
          <w:rFonts w:ascii="Times New Roman" w:hAnsi="Times New Roman" w:cs="Times New Roman"/>
          <w:bCs/>
          <w:i/>
          <w:sz w:val="28"/>
          <w:szCs w:val="28"/>
        </w:rPr>
        <w:t>д.).</w:t>
      </w:r>
    </w:p>
    <w:p w:rsidR="00125913" w:rsidRPr="003B675D" w:rsidRDefault="00125913" w:rsidP="00125913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3B675D">
        <w:rPr>
          <w:rFonts w:ascii="Times New Roman" w:hAnsi="Times New Roman" w:cs="Times New Roman"/>
          <w:bCs/>
          <w:i/>
          <w:sz w:val="28"/>
          <w:szCs w:val="28"/>
        </w:rPr>
        <w:t>2. В столбце 7 проставляется важность мероприятия из табл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3B675D">
        <w:rPr>
          <w:rFonts w:ascii="Times New Roman" w:hAnsi="Times New Roman" w:cs="Times New Roman"/>
          <w:bCs/>
          <w:i/>
          <w:sz w:val="28"/>
          <w:szCs w:val="28"/>
        </w:rPr>
        <w:t xml:space="preserve"> 8 (первый столбец).</w:t>
      </w:r>
    </w:p>
    <w:p w:rsidR="009C26A4" w:rsidRPr="00125913" w:rsidRDefault="009C26A4" w:rsidP="00125913"/>
    <w:sectPr w:rsidR="009C26A4" w:rsidRPr="00125913" w:rsidSect="009C2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49B" w:rsidRDefault="00BF349B" w:rsidP="00125913">
      <w:pPr>
        <w:spacing w:after="0" w:line="240" w:lineRule="auto"/>
      </w:pPr>
      <w:r>
        <w:separator/>
      </w:r>
    </w:p>
  </w:endnote>
  <w:endnote w:type="continuationSeparator" w:id="0">
    <w:p w:rsidR="00BF349B" w:rsidRDefault="00BF349B" w:rsidP="0012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49B" w:rsidRDefault="00BF349B" w:rsidP="00125913">
      <w:pPr>
        <w:spacing w:after="0" w:line="240" w:lineRule="auto"/>
      </w:pPr>
      <w:r>
        <w:separator/>
      </w:r>
    </w:p>
  </w:footnote>
  <w:footnote w:type="continuationSeparator" w:id="0">
    <w:p w:rsidR="00BF349B" w:rsidRDefault="00BF349B" w:rsidP="00125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3549"/>
    <w:multiLevelType w:val="hybridMultilevel"/>
    <w:tmpl w:val="BE2AEE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1BC91A4B"/>
    <w:multiLevelType w:val="hybridMultilevel"/>
    <w:tmpl w:val="C6309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22274"/>
    <w:multiLevelType w:val="hybridMultilevel"/>
    <w:tmpl w:val="E8C8C000"/>
    <w:lvl w:ilvl="0" w:tplc="CE3A3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030B1"/>
    <w:multiLevelType w:val="hybridMultilevel"/>
    <w:tmpl w:val="80B88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203E7"/>
    <w:multiLevelType w:val="hybridMultilevel"/>
    <w:tmpl w:val="511069E4"/>
    <w:lvl w:ilvl="0" w:tplc="B78AB07E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C2E9A"/>
    <w:multiLevelType w:val="hybridMultilevel"/>
    <w:tmpl w:val="1F36DA4E"/>
    <w:lvl w:ilvl="0" w:tplc="277AD78E">
      <w:numFmt w:val="bullet"/>
      <w:lvlText w:val="•"/>
      <w:lvlJc w:val="left"/>
      <w:pPr>
        <w:ind w:left="340" w:hanging="34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00E6A"/>
    <w:multiLevelType w:val="hybridMultilevel"/>
    <w:tmpl w:val="4B709C34"/>
    <w:lvl w:ilvl="0" w:tplc="7A128FD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00C30"/>
    <w:multiLevelType w:val="hybridMultilevel"/>
    <w:tmpl w:val="908A9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41F21"/>
    <w:multiLevelType w:val="hybridMultilevel"/>
    <w:tmpl w:val="8F0A1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15478"/>
    <w:multiLevelType w:val="hybridMultilevel"/>
    <w:tmpl w:val="D3E0D066"/>
    <w:lvl w:ilvl="0" w:tplc="36A8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408E0"/>
    <w:multiLevelType w:val="hybridMultilevel"/>
    <w:tmpl w:val="6E509092"/>
    <w:lvl w:ilvl="0" w:tplc="36A847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D11C9"/>
    <w:multiLevelType w:val="hybridMultilevel"/>
    <w:tmpl w:val="58227E88"/>
    <w:lvl w:ilvl="0" w:tplc="36A8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11E0B"/>
    <w:multiLevelType w:val="hybridMultilevel"/>
    <w:tmpl w:val="D56ABCEA"/>
    <w:lvl w:ilvl="0" w:tplc="CABC3B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41DCD"/>
    <w:multiLevelType w:val="hybridMultilevel"/>
    <w:tmpl w:val="D56ABCEA"/>
    <w:lvl w:ilvl="0" w:tplc="CABC3B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12902"/>
    <w:multiLevelType w:val="hybridMultilevel"/>
    <w:tmpl w:val="4AE487D0"/>
    <w:lvl w:ilvl="0" w:tplc="7A128FD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7A01681"/>
    <w:multiLevelType w:val="hybridMultilevel"/>
    <w:tmpl w:val="D56ABCEA"/>
    <w:lvl w:ilvl="0" w:tplc="CABC3B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B7D56"/>
    <w:multiLevelType w:val="hybridMultilevel"/>
    <w:tmpl w:val="76AE842A"/>
    <w:lvl w:ilvl="0" w:tplc="36A8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75A61"/>
    <w:multiLevelType w:val="hybridMultilevel"/>
    <w:tmpl w:val="D56ABCEA"/>
    <w:lvl w:ilvl="0" w:tplc="CABC3B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37DB1"/>
    <w:multiLevelType w:val="hybridMultilevel"/>
    <w:tmpl w:val="B67C5908"/>
    <w:lvl w:ilvl="0" w:tplc="62666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F0754B"/>
    <w:multiLevelType w:val="hybridMultilevel"/>
    <w:tmpl w:val="1220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B5CAE"/>
    <w:multiLevelType w:val="hybridMultilevel"/>
    <w:tmpl w:val="9EA81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1B3C6B"/>
    <w:multiLevelType w:val="hybridMultilevel"/>
    <w:tmpl w:val="8F0A1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629EC"/>
    <w:multiLevelType w:val="hybridMultilevel"/>
    <w:tmpl w:val="03DA1C5C"/>
    <w:lvl w:ilvl="0" w:tplc="36A8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635D1"/>
    <w:multiLevelType w:val="hybridMultilevel"/>
    <w:tmpl w:val="CF00E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F550D2"/>
    <w:multiLevelType w:val="hybridMultilevel"/>
    <w:tmpl w:val="9002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13"/>
  </w:num>
  <w:num w:numId="5">
    <w:abstractNumId w:val="21"/>
  </w:num>
  <w:num w:numId="6">
    <w:abstractNumId w:val="10"/>
  </w:num>
  <w:num w:numId="7">
    <w:abstractNumId w:val="8"/>
  </w:num>
  <w:num w:numId="8">
    <w:abstractNumId w:val="12"/>
  </w:num>
  <w:num w:numId="9">
    <w:abstractNumId w:val="15"/>
  </w:num>
  <w:num w:numId="10">
    <w:abstractNumId w:val="9"/>
  </w:num>
  <w:num w:numId="11">
    <w:abstractNumId w:val="16"/>
  </w:num>
  <w:num w:numId="12">
    <w:abstractNumId w:val="22"/>
  </w:num>
  <w:num w:numId="13">
    <w:abstractNumId w:val="14"/>
  </w:num>
  <w:num w:numId="14">
    <w:abstractNumId w:val="6"/>
  </w:num>
  <w:num w:numId="15">
    <w:abstractNumId w:val="2"/>
  </w:num>
  <w:num w:numId="16">
    <w:abstractNumId w:val="0"/>
  </w:num>
  <w:num w:numId="17">
    <w:abstractNumId w:val="20"/>
  </w:num>
  <w:num w:numId="18">
    <w:abstractNumId w:val="3"/>
  </w:num>
  <w:num w:numId="19">
    <w:abstractNumId w:val="19"/>
  </w:num>
  <w:num w:numId="20">
    <w:abstractNumId w:val="1"/>
  </w:num>
  <w:num w:numId="21">
    <w:abstractNumId w:val="7"/>
  </w:num>
  <w:num w:numId="22">
    <w:abstractNumId w:val="24"/>
  </w:num>
  <w:num w:numId="23">
    <w:abstractNumId w:val="23"/>
  </w:num>
  <w:num w:numId="24">
    <w:abstractNumId w:val="11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0DF"/>
    <w:rsid w:val="00125913"/>
    <w:rsid w:val="002732C0"/>
    <w:rsid w:val="00813EC0"/>
    <w:rsid w:val="00851402"/>
    <w:rsid w:val="009C26A4"/>
    <w:rsid w:val="00B30774"/>
    <w:rsid w:val="00BB7BF3"/>
    <w:rsid w:val="00BF349B"/>
    <w:rsid w:val="00D047A3"/>
    <w:rsid w:val="00FE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13"/>
  </w:style>
  <w:style w:type="paragraph" w:styleId="1">
    <w:name w:val="heading 1"/>
    <w:basedOn w:val="a"/>
    <w:next w:val="a"/>
    <w:link w:val="10"/>
    <w:uiPriority w:val="9"/>
    <w:qFormat/>
    <w:rsid w:val="00BB7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Уровень 2"/>
    <w:basedOn w:val="a"/>
    <w:rsid w:val="00FE20DF"/>
    <w:pPr>
      <w:widowControl w:val="0"/>
      <w:tabs>
        <w:tab w:val="num" w:pos="1440"/>
      </w:tabs>
      <w:autoSpaceDE w:val="0"/>
      <w:autoSpaceDN w:val="0"/>
      <w:adjustRightInd w:val="0"/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spacing w:val="10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FE20DF"/>
    <w:pPr>
      <w:ind w:left="720"/>
      <w:contextualSpacing/>
    </w:pPr>
  </w:style>
  <w:style w:type="table" w:customStyle="1" w:styleId="20">
    <w:name w:val="Сетка таблицы2"/>
    <w:basedOn w:val="a1"/>
    <w:next w:val="a3"/>
    <w:uiPriority w:val="59"/>
    <w:rsid w:val="00FE2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7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footnote text"/>
    <w:aliases w:val="Текст сноски Знак Знак Знак,Текст сноски Знак Знак Знак Знак,Текст сноски Знак Знак"/>
    <w:basedOn w:val="a"/>
    <w:link w:val="a6"/>
    <w:rsid w:val="00BB7B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aliases w:val="Текст сноски Знак Знак Знак Знак1,Текст сноски Знак Знак Знак Знак Знак,Текст сноски Знак Знак Знак1"/>
    <w:basedOn w:val="a0"/>
    <w:link w:val="a5"/>
    <w:rsid w:val="00BB7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BB7BF3"/>
    <w:rPr>
      <w:vertAlign w:val="superscript"/>
    </w:rPr>
  </w:style>
  <w:style w:type="paragraph" w:customStyle="1" w:styleId="ConsPlusNonformat">
    <w:name w:val="ConsPlusNonformat"/>
    <w:rsid w:val="00BB7B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B7B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Знак18"/>
    <w:semiHidden/>
    <w:rsid w:val="00BB7BF3"/>
    <w:rPr>
      <w:rFonts w:ascii="Tahoma" w:hAnsi="Tahoma" w:cs="Tahoma"/>
      <w:lang w:val="ru-RU" w:eastAsia="ru-RU" w:bidi="ar-SA"/>
    </w:rPr>
  </w:style>
  <w:style w:type="paragraph" w:styleId="a8">
    <w:name w:val="Normal (Web)"/>
    <w:basedOn w:val="a"/>
    <w:uiPriority w:val="99"/>
    <w:rsid w:val="00BB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uiPriority w:val="99"/>
    <w:rsid w:val="00BB7BF3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BB7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7BF3"/>
  </w:style>
  <w:style w:type="paragraph" w:styleId="ab">
    <w:name w:val="footer"/>
    <w:basedOn w:val="a"/>
    <w:link w:val="ac"/>
    <w:uiPriority w:val="99"/>
    <w:unhideWhenUsed/>
    <w:rsid w:val="00BB7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7BF3"/>
  </w:style>
  <w:style w:type="character" w:styleId="ad">
    <w:name w:val="page number"/>
    <w:basedOn w:val="a0"/>
    <w:rsid w:val="00BB7BF3"/>
  </w:style>
  <w:style w:type="numbering" w:customStyle="1" w:styleId="11">
    <w:name w:val="Нет списка1"/>
    <w:next w:val="a2"/>
    <w:uiPriority w:val="99"/>
    <w:semiHidden/>
    <w:unhideWhenUsed/>
    <w:rsid w:val="00BB7BF3"/>
  </w:style>
  <w:style w:type="table" w:customStyle="1" w:styleId="12">
    <w:name w:val="Сетка таблицы1"/>
    <w:basedOn w:val="a1"/>
    <w:next w:val="a3"/>
    <w:uiPriority w:val="59"/>
    <w:rsid w:val="00BB7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B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7BF3"/>
    <w:rPr>
      <w:rFonts w:ascii="Tahoma" w:hAnsi="Tahoma" w:cs="Tahoma"/>
      <w:sz w:val="16"/>
      <w:szCs w:val="16"/>
    </w:rPr>
  </w:style>
  <w:style w:type="paragraph" w:styleId="af0">
    <w:name w:val="Intense Quote"/>
    <w:basedOn w:val="a"/>
    <w:next w:val="a"/>
    <w:link w:val="af1"/>
    <w:uiPriority w:val="30"/>
    <w:qFormat/>
    <w:rsid w:val="00BB7BF3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BB7BF3"/>
    <w:rPr>
      <w:rFonts w:eastAsiaTheme="minorEastAsia"/>
      <w:b/>
      <w:bCs/>
      <w:i/>
      <w:iCs/>
      <w:color w:val="4F81BD" w:themeColor="accent1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B7BF3"/>
  </w:style>
  <w:style w:type="table" w:customStyle="1" w:styleId="21">
    <w:name w:val="Сетка таблицы21"/>
    <w:basedOn w:val="a1"/>
    <w:next w:val="a3"/>
    <w:uiPriority w:val="59"/>
    <w:rsid w:val="00BB7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BB7BF3"/>
    <w:rPr>
      <w:color w:val="0000FF" w:themeColor="hyperlink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B7BF3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B7BF3"/>
    <w:pPr>
      <w:tabs>
        <w:tab w:val="right" w:leader="dot" w:pos="9345"/>
      </w:tabs>
      <w:spacing w:after="100" w:line="360" w:lineRule="auto"/>
    </w:pPr>
  </w:style>
  <w:style w:type="paragraph" w:styleId="22">
    <w:name w:val="toc 2"/>
    <w:basedOn w:val="a"/>
    <w:next w:val="a"/>
    <w:autoRedefine/>
    <w:uiPriority w:val="39"/>
    <w:unhideWhenUsed/>
    <w:rsid w:val="00BB7BF3"/>
    <w:pPr>
      <w:spacing w:after="100"/>
      <w:ind w:left="220"/>
    </w:pPr>
  </w:style>
  <w:style w:type="paragraph" w:styleId="af4">
    <w:name w:val="Document Map"/>
    <w:basedOn w:val="a"/>
    <w:link w:val="af5"/>
    <w:uiPriority w:val="99"/>
    <w:semiHidden/>
    <w:unhideWhenUsed/>
    <w:rsid w:val="00BB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BB7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1461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2016-08-01T10:02:00Z</dcterms:created>
  <dcterms:modified xsi:type="dcterms:W3CDTF">2016-09-28T09:44:00Z</dcterms:modified>
</cp:coreProperties>
</file>